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5370.xml.htm"/>
      <w:bookmarkStart w:id="1" w:name="kswkform4_17883853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05"/>
        <w:gridCol w:w="920"/>
        <w:gridCol w:w="792"/>
        <w:gridCol w:w="611"/>
        <w:gridCol w:w="334"/>
        <w:gridCol w:w="790"/>
        <w:gridCol w:w="403"/>
        <w:gridCol w:w="1102"/>
        <w:gridCol w:w="1591"/>
        <w:gridCol w:w="944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288.3033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398,027.4109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397,627.4109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290.895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395,727.4109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291.6033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395,427.4109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293.5075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395,027.4109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295.91</w:t>
            </w:r>
          </w:p>
        </w:tc>
        <w:tc>
          <w:tcPr>
            <w:tcW w:w="1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394,927.4109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$288.18 to $288.54,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138.7483 dividend equivalent restricted stock units acquired on August 27, 2026, in respect of previously granted restricted stock units under the Company's Amended and Restated 2006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$289.23 to $289.49,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$290.48 to $291.45,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$291.50 to $291.68,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the weighted average price. These shares were sold in multiple transactions at prices ranging from $293.04 to $293.82,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927</Words>
  <Characters>5059</Characters>
  <CharactersWithSpaces>5873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