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86736.xml.htm"/>
      <w:bookmarkStart w:id="1" w:name="kswkform4_17889867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BIDZOS 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Chairman, Pres,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9"/>
        <w:gridCol w:w="921"/>
        <w:gridCol w:w="792"/>
        <w:gridCol w:w="611"/>
        <w:gridCol w:w="336"/>
        <w:gridCol w:w="794"/>
        <w:gridCol w:w="406"/>
        <w:gridCol w:w="1101"/>
        <w:gridCol w:w="1541"/>
        <w:gridCol w:w="949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279.6625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394,627.4109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280.8175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394,227.4109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282.031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393,327.4109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282.99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393,027.4109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285.7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392,727.4109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287.04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392,627.4109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289.16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391,627.4109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the weighted average price. These shares were sold in multiple transactions at prices ranging from $279.12 to $279.93,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the weighted average price. These shares were sold in multiple transactions at prices ranging from $280.52 to $280.99,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the weighted average price. These shares were sold in multiple transactions at prices ranging from $281.58 to $282.54,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the weighted average price. These shares were sold in multiple transactions at prices ranging from $282.62 to $283.54,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the weighted average price. These shares were sold in multiple transactions at prices ranging from $285.11 to $286.08,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D. James Bidzos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4816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905</Words>
  <Characters>4912</Characters>
  <CharactersWithSpaces>5697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